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C0" w:rsidRDefault="00262C5C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234315</wp:posOffset>
                </wp:positionV>
                <wp:extent cx="2695575" cy="495300"/>
                <wp:effectExtent l="0" t="0" r="28575" b="19050"/>
                <wp:wrapNone/>
                <wp:docPr id="1" name="Redondear rectángulo de esquina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95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2ADB0" id="Redondear rectángulo de esquina diagonal 1" o:spid="_x0000_s1026" style="position:absolute;margin-left:-3.35pt;margin-top:18.45pt;width:212.25pt;height:3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5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" path="m82552,l2695575,r,l2695575,412748v,45592,-36960,82552,-82552,82552l,495300r,l,82552c,36960,36960,,82552,xe" fillcolor="black [3200]" strokecolor="black [1600]" strokeweight="1pt">
                <v:stroke joinstyle="miter"/>
                <v:path arrowok="t" o:connecttype="custom" o:connectlocs="82552,0;2695575,0;2695575,0;2695575,412748;2613023,495300;0,495300;0,495300;0,82552;82552,0" o:connectangles="0,0,0,0,0,0,0,0,0"/>
              </v:shape>
            </w:pict>
          </mc:Fallback>
        </mc:AlternateContent>
      </w:r>
    </w:p>
    <w:p w:rsidR="00B72E80" w:rsidRPr="00262C5C" w:rsidRDefault="00B72E80">
      <w:pPr>
        <w:rPr>
          <w:rFonts w:ascii="Panton" w:hAnsi="Panton"/>
          <w:b/>
          <w:color w:val="FFFFFF" w:themeColor="background1"/>
          <w:sz w:val="52"/>
          <w:szCs w:val="52"/>
        </w:rPr>
      </w:pPr>
      <w:r w:rsidRPr="00262C5C">
        <w:rPr>
          <w:rFonts w:ascii="Panton" w:hAnsi="Panton"/>
          <w:b/>
          <w:color w:val="FFFFFF" w:themeColor="background1"/>
          <w:sz w:val="52"/>
          <w:szCs w:val="52"/>
        </w:rPr>
        <w:t>Marco Normativo</w:t>
      </w:r>
    </w:p>
    <w:p w:rsidR="00B72E80" w:rsidRDefault="00B72E80">
      <w:pPr>
        <w:rPr>
          <w:rFonts w:ascii="Panton" w:hAnsi="Panton"/>
        </w:rPr>
      </w:pPr>
    </w:p>
    <w:p w:rsidR="00B72E80" w:rsidRPr="006F739A" w:rsidRDefault="00B72E80" w:rsidP="00262C5C">
      <w:pPr>
        <w:jc w:val="both"/>
        <w:rPr>
          <w:rFonts w:ascii="Panton" w:hAnsi="Panton"/>
          <w:b/>
          <w:sz w:val="40"/>
          <w:szCs w:val="40"/>
        </w:rPr>
      </w:pPr>
      <w:r w:rsidRPr="006F739A">
        <w:rPr>
          <w:rFonts w:ascii="Panton" w:hAnsi="Panton"/>
          <w:b/>
          <w:sz w:val="40"/>
          <w:szCs w:val="40"/>
        </w:rPr>
        <w:t>La Contraloría Social tiene su sustento legal en la primicia de los derechos constitucionales a la información, de petición y de participación de diversos sectores de la sociedad en la planeación democrática del desarrollo nacional consagrados en la Constitución en los artículos:</w:t>
      </w:r>
    </w:p>
    <w:p w:rsidR="00262C5C" w:rsidRPr="006F739A" w:rsidRDefault="00262C5C" w:rsidP="00262C5C">
      <w:pPr>
        <w:jc w:val="both"/>
        <w:rPr>
          <w:rFonts w:ascii="Panton" w:hAnsi="Panton"/>
          <w:b/>
          <w:sz w:val="20"/>
          <w:szCs w:val="20"/>
        </w:rPr>
      </w:pPr>
    </w:p>
    <w:p w:rsidR="00262C5C" w:rsidRDefault="00B72E80" w:rsidP="00262C5C">
      <w:pPr>
        <w:jc w:val="both"/>
        <w:rPr>
          <w:rFonts w:ascii="Panton" w:hAnsi="Panton"/>
          <w:b/>
          <w:sz w:val="36"/>
          <w:szCs w:val="36"/>
        </w:rPr>
      </w:pPr>
      <w:r w:rsidRPr="006F739A">
        <w:rPr>
          <w:rFonts w:ascii="Panton" w:hAnsi="Panton"/>
          <w:b/>
          <w:sz w:val="36"/>
          <w:szCs w:val="36"/>
        </w:rPr>
        <w:t>6° - “El derecho a la información será garantizada por el Estado”</w:t>
      </w:r>
      <w:r w:rsidR="00262C5C" w:rsidRPr="006F739A">
        <w:rPr>
          <w:rFonts w:ascii="Panton" w:hAnsi="Panton"/>
          <w:b/>
          <w:sz w:val="36"/>
          <w:szCs w:val="36"/>
        </w:rPr>
        <w:t>.</w:t>
      </w:r>
    </w:p>
    <w:p w:rsidR="006F739A" w:rsidRPr="006F739A" w:rsidRDefault="006F739A" w:rsidP="00262C5C">
      <w:pPr>
        <w:jc w:val="both"/>
        <w:rPr>
          <w:rFonts w:ascii="Panton" w:hAnsi="Panton"/>
          <w:b/>
          <w:sz w:val="20"/>
          <w:szCs w:val="20"/>
        </w:rPr>
      </w:pPr>
    </w:p>
    <w:p w:rsidR="00262C5C" w:rsidRDefault="00B72E80" w:rsidP="00262C5C">
      <w:pPr>
        <w:jc w:val="both"/>
        <w:rPr>
          <w:rFonts w:ascii="Panton" w:hAnsi="Panton"/>
          <w:b/>
          <w:sz w:val="36"/>
          <w:szCs w:val="36"/>
        </w:rPr>
      </w:pPr>
      <w:r w:rsidRPr="006F739A">
        <w:rPr>
          <w:rFonts w:ascii="Panton" w:hAnsi="Panton"/>
          <w:b/>
          <w:sz w:val="36"/>
          <w:szCs w:val="36"/>
        </w:rPr>
        <w:t>8° - “Los funcionarios y empleados públicos</w:t>
      </w:r>
      <w:r w:rsidR="00262C5C" w:rsidRPr="006F739A">
        <w:rPr>
          <w:rFonts w:ascii="Panton" w:hAnsi="Panton"/>
          <w:b/>
          <w:sz w:val="36"/>
          <w:szCs w:val="36"/>
        </w:rPr>
        <w:t xml:space="preserve"> respetarán el ejercicio de derecho de petición”.</w:t>
      </w:r>
    </w:p>
    <w:p w:rsidR="006F739A" w:rsidRPr="006F739A" w:rsidRDefault="006F739A" w:rsidP="00262C5C">
      <w:pPr>
        <w:jc w:val="both"/>
        <w:rPr>
          <w:rFonts w:ascii="Panton" w:hAnsi="Panton"/>
          <w:b/>
          <w:sz w:val="20"/>
          <w:szCs w:val="20"/>
        </w:rPr>
      </w:pPr>
    </w:p>
    <w:p w:rsidR="00262C5C" w:rsidRPr="006F739A" w:rsidRDefault="00262C5C" w:rsidP="00262C5C">
      <w:pPr>
        <w:jc w:val="both"/>
        <w:rPr>
          <w:rFonts w:ascii="Panton" w:hAnsi="Panton"/>
          <w:b/>
          <w:sz w:val="36"/>
          <w:szCs w:val="36"/>
        </w:rPr>
      </w:pPr>
      <w:r w:rsidRPr="006F739A">
        <w:rPr>
          <w:rFonts w:ascii="Panton" w:hAnsi="Panton"/>
          <w:b/>
          <w:sz w:val="36"/>
          <w:szCs w:val="36"/>
        </w:rPr>
        <w:t>26° - La planeación será democrática. Mediante la participación de los diversos sectores sociales recogerá las aspiraciones y demanda de las sociedades para incorporarlos al plan y los Programas de Desarrollo Social.</w:t>
      </w:r>
    </w:p>
    <w:p w:rsidR="00262C5C" w:rsidRPr="00262C5C" w:rsidRDefault="00262C5C" w:rsidP="00262C5C">
      <w:pPr>
        <w:jc w:val="both"/>
        <w:rPr>
          <w:rFonts w:ascii="Panton" w:hAnsi="Panton"/>
          <w:sz w:val="36"/>
          <w:szCs w:val="36"/>
        </w:rPr>
      </w:pPr>
      <w:r>
        <w:rPr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BD9CFF" wp14:editId="0A3CAE65">
                <wp:simplePos x="0" y="0"/>
                <wp:positionH relativeFrom="margin">
                  <wp:posOffset>-28575</wp:posOffset>
                </wp:positionH>
                <wp:positionV relativeFrom="paragraph">
                  <wp:posOffset>-25400</wp:posOffset>
                </wp:positionV>
                <wp:extent cx="2695575" cy="495300"/>
                <wp:effectExtent l="0" t="0" r="28575" b="19050"/>
                <wp:wrapNone/>
                <wp:docPr id="2" name="Redondear rectángulo de esquina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95300"/>
                        </a:xfrm>
                        <a:prstGeom prst="round2Diag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E8D91" id="Redondear rectángulo de esquina diagonal 2" o:spid="_x0000_s1026" style="position:absolute;margin-left:-2.25pt;margin-top:-2pt;width:212.25pt;height:3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955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" path="m82552,l2695575,r,l2695575,412748v,45592,-36960,82552,-82552,82552l,495300r,l,82552c,36960,36960,,82552,xe" fillcolor="windowText" strokeweight="1pt">
                <v:stroke joinstyle="miter"/>
                <v:path arrowok="t" o:connecttype="custom" o:connectlocs="82552,0;2695575,0;2695575,0;2695575,412748;2613023,495300;0,495300;0,495300;0,82552;82552,0" o:connectangles="0,0,0,0,0,0,0,0,0"/>
                <w10:wrap anchorx="margin"/>
              </v:shape>
            </w:pict>
          </mc:Fallback>
        </mc:AlternateContent>
      </w:r>
      <w:r w:rsidRPr="00262C5C">
        <w:rPr>
          <w:rFonts w:ascii="Panton" w:hAnsi="Panton"/>
          <w:b/>
          <w:color w:val="FFFFFF" w:themeColor="background1"/>
          <w:sz w:val="52"/>
          <w:szCs w:val="52"/>
        </w:rPr>
        <w:t>Marco Normativo</w:t>
      </w:r>
    </w:p>
    <w:p w:rsidR="00262C5C" w:rsidRDefault="00262C5C" w:rsidP="00262C5C">
      <w:pPr>
        <w:jc w:val="both"/>
        <w:rPr>
          <w:rFonts w:ascii="Panton" w:hAnsi="Panton"/>
          <w:sz w:val="36"/>
          <w:szCs w:val="36"/>
        </w:rPr>
      </w:pPr>
    </w:p>
    <w:p w:rsidR="006F739A" w:rsidRPr="006F739A" w:rsidRDefault="006F739A" w:rsidP="00262C5C">
      <w:pPr>
        <w:jc w:val="both"/>
        <w:rPr>
          <w:rFonts w:ascii="Panton" w:hAnsi="Panton"/>
          <w:sz w:val="20"/>
          <w:szCs w:val="20"/>
        </w:rPr>
      </w:pPr>
    </w:p>
    <w:p w:rsidR="00262C5C" w:rsidRDefault="00262C5C" w:rsidP="006F739A">
      <w:pPr>
        <w:spacing w:line="480" w:lineRule="auto"/>
        <w:jc w:val="both"/>
        <w:rPr>
          <w:rFonts w:ascii="Panton" w:hAnsi="Panton"/>
          <w:b/>
          <w:sz w:val="36"/>
          <w:szCs w:val="36"/>
        </w:rPr>
      </w:pPr>
      <w:r w:rsidRPr="006F739A">
        <w:rPr>
          <w:rFonts w:ascii="Panton" w:hAnsi="Panton"/>
          <w:b/>
          <w:sz w:val="36"/>
          <w:szCs w:val="36"/>
        </w:rPr>
        <w:t>Por otro lado, en la Ley General de Desarrollo Social se establecen principios fundamentales como la participación social entendida como el derecho de las personas y organizaciones a intervenir e integrarse, individual y colectivamente en la formulación, ejecución y evaluación de las políticas</w:t>
      </w:r>
      <w:r w:rsidR="006F739A" w:rsidRPr="006F739A">
        <w:rPr>
          <w:rFonts w:ascii="Panton" w:hAnsi="Panton"/>
          <w:b/>
          <w:sz w:val="36"/>
          <w:szCs w:val="36"/>
        </w:rPr>
        <w:t>, programas y acciones de desarrollo social y en cuanto a la transparencia se refrenda que la información relativa al desarrollo social es pública y que las autoridades del país garantizarán que la información gubernamental sea objetiva, oportuna, sistemática y veraz.</w:t>
      </w:r>
    </w:p>
    <w:p w:rsidR="006F739A" w:rsidRDefault="006F739A" w:rsidP="006F739A">
      <w:pPr>
        <w:jc w:val="both"/>
        <w:rPr>
          <w:rFonts w:ascii="Panton" w:hAnsi="Panton"/>
          <w:b/>
          <w:color w:val="FFFFFF" w:themeColor="background1"/>
          <w:sz w:val="52"/>
          <w:szCs w:val="52"/>
        </w:rPr>
      </w:pPr>
      <w:r>
        <w:rPr>
          <w:rFonts w:ascii="Panton" w:hAnsi="Panton"/>
          <w:b/>
          <w:noProof/>
          <w:sz w:val="36"/>
          <w:szCs w:val="36"/>
          <w:lang w:eastAsia="es-419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-41910</wp:posOffset>
            </wp:positionV>
            <wp:extent cx="2707005" cy="506095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nton" w:hAnsi="Panton"/>
          <w:b/>
          <w:color w:val="FFFFFF" w:themeColor="background1"/>
          <w:sz w:val="52"/>
          <w:szCs w:val="52"/>
        </w:rPr>
        <w:t xml:space="preserve"> Marc</w:t>
      </w:r>
      <w:r w:rsidRPr="00262C5C">
        <w:rPr>
          <w:rFonts w:ascii="Panton" w:hAnsi="Panton"/>
          <w:b/>
          <w:color w:val="FFFFFF" w:themeColor="background1"/>
          <w:sz w:val="52"/>
          <w:szCs w:val="52"/>
        </w:rPr>
        <w:t>o Normativo</w:t>
      </w:r>
    </w:p>
    <w:p w:rsidR="006F739A" w:rsidRPr="006F739A" w:rsidRDefault="006F739A" w:rsidP="006F739A">
      <w:pPr>
        <w:jc w:val="both"/>
        <w:rPr>
          <w:rFonts w:ascii="Panton" w:hAnsi="Panton"/>
          <w:b/>
          <w:color w:val="FFFFFF" w:themeColor="background1"/>
          <w:sz w:val="52"/>
          <w:szCs w:val="52"/>
        </w:rPr>
      </w:pPr>
    </w:p>
    <w:p w:rsidR="006F739A" w:rsidRDefault="006F739A" w:rsidP="006F739A">
      <w:pPr>
        <w:pStyle w:val="Prrafodelista"/>
        <w:numPr>
          <w:ilvl w:val="0"/>
          <w:numId w:val="1"/>
        </w:numPr>
        <w:spacing w:line="480" w:lineRule="auto"/>
        <w:ind w:left="567" w:hanging="567"/>
        <w:jc w:val="both"/>
        <w:rPr>
          <w:rFonts w:ascii="Panton" w:hAnsi="Panton"/>
          <w:b/>
          <w:sz w:val="36"/>
          <w:szCs w:val="36"/>
        </w:rPr>
      </w:pPr>
      <w:r>
        <w:rPr>
          <w:rFonts w:ascii="Panton" w:hAnsi="Panton"/>
          <w:b/>
          <w:sz w:val="36"/>
          <w:szCs w:val="36"/>
        </w:rPr>
        <w:t>Constitución Política de los Estados Unido</w:t>
      </w:r>
      <w:r w:rsidR="00E83F1F">
        <w:rPr>
          <w:rFonts w:ascii="Panton" w:hAnsi="Panton"/>
          <w:b/>
          <w:sz w:val="36"/>
          <w:szCs w:val="36"/>
        </w:rPr>
        <w:t xml:space="preserve">s Mexicanos en los artículos 6, </w:t>
      </w:r>
      <w:r>
        <w:rPr>
          <w:rFonts w:ascii="Panton" w:hAnsi="Panton"/>
          <w:b/>
          <w:sz w:val="36"/>
          <w:szCs w:val="36"/>
        </w:rPr>
        <w:t>8, 26.</w:t>
      </w:r>
    </w:p>
    <w:p w:rsidR="006F739A" w:rsidRDefault="006F739A" w:rsidP="006F739A">
      <w:pPr>
        <w:pStyle w:val="Prrafodelista"/>
        <w:numPr>
          <w:ilvl w:val="0"/>
          <w:numId w:val="1"/>
        </w:numPr>
        <w:spacing w:line="480" w:lineRule="auto"/>
        <w:ind w:left="567" w:hanging="567"/>
        <w:jc w:val="both"/>
        <w:rPr>
          <w:rFonts w:ascii="Panton" w:hAnsi="Panton"/>
          <w:b/>
          <w:sz w:val="36"/>
          <w:szCs w:val="36"/>
        </w:rPr>
      </w:pPr>
      <w:r>
        <w:rPr>
          <w:rFonts w:ascii="Panton" w:hAnsi="Panton"/>
          <w:b/>
          <w:sz w:val="36"/>
          <w:szCs w:val="36"/>
        </w:rPr>
        <w:t>Ley General de Desarrollo Social en los artículos: 69,</w:t>
      </w:r>
      <w:r w:rsidR="00E83F1F">
        <w:rPr>
          <w:rFonts w:ascii="Panton" w:hAnsi="Panton"/>
          <w:b/>
          <w:sz w:val="36"/>
          <w:szCs w:val="36"/>
        </w:rPr>
        <w:t xml:space="preserve"> </w:t>
      </w:r>
      <w:r>
        <w:rPr>
          <w:rFonts w:ascii="Panton" w:hAnsi="Panton"/>
          <w:b/>
          <w:sz w:val="36"/>
          <w:szCs w:val="36"/>
        </w:rPr>
        <w:t>70 y 71.</w:t>
      </w:r>
    </w:p>
    <w:p w:rsidR="006F739A" w:rsidRDefault="006F739A" w:rsidP="006F739A">
      <w:pPr>
        <w:pStyle w:val="Prrafodelista"/>
        <w:numPr>
          <w:ilvl w:val="0"/>
          <w:numId w:val="1"/>
        </w:numPr>
        <w:spacing w:line="480" w:lineRule="auto"/>
        <w:ind w:left="567" w:hanging="567"/>
        <w:jc w:val="both"/>
        <w:rPr>
          <w:rFonts w:ascii="Panton" w:hAnsi="Panton"/>
          <w:b/>
          <w:sz w:val="36"/>
          <w:szCs w:val="36"/>
        </w:rPr>
      </w:pPr>
      <w:r>
        <w:rPr>
          <w:rFonts w:ascii="Panton" w:hAnsi="Panton"/>
          <w:b/>
          <w:sz w:val="36"/>
          <w:szCs w:val="36"/>
        </w:rPr>
        <w:t>Reglamento</w:t>
      </w:r>
      <w:r w:rsidR="00E83F1F">
        <w:rPr>
          <w:rFonts w:ascii="Panton" w:hAnsi="Panton"/>
          <w:b/>
          <w:sz w:val="36"/>
          <w:szCs w:val="36"/>
        </w:rPr>
        <w:t xml:space="preserve"> de la LGDS en los artículos: 67, 68, 69, 70, 71, 72, 73 y 74.</w:t>
      </w:r>
    </w:p>
    <w:p w:rsidR="00E83F1F" w:rsidRDefault="00E83F1F" w:rsidP="006F739A">
      <w:pPr>
        <w:pStyle w:val="Prrafodelista"/>
        <w:numPr>
          <w:ilvl w:val="0"/>
          <w:numId w:val="1"/>
        </w:numPr>
        <w:spacing w:line="480" w:lineRule="auto"/>
        <w:ind w:left="567" w:hanging="567"/>
        <w:jc w:val="both"/>
        <w:rPr>
          <w:rFonts w:ascii="Panton" w:hAnsi="Panton"/>
          <w:b/>
          <w:sz w:val="36"/>
          <w:szCs w:val="36"/>
        </w:rPr>
      </w:pPr>
      <w:r>
        <w:rPr>
          <w:rFonts w:ascii="Panton" w:hAnsi="Panton"/>
          <w:b/>
          <w:sz w:val="36"/>
          <w:szCs w:val="36"/>
        </w:rPr>
        <w:t>Acuerdo por el que se establecen los Lineamientos para la Promoción y Operación de la Contraloría Social en los Programas Federales de Desarrollo Social y la Estrategia Marco.</w:t>
      </w:r>
    </w:p>
    <w:p w:rsidR="00E83F1F" w:rsidRDefault="00E83F1F" w:rsidP="006F739A">
      <w:pPr>
        <w:pStyle w:val="Prrafodelista"/>
        <w:numPr>
          <w:ilvl w:val="0"/>
          <w:numId w:val="1"/>
        </w:numPr>
        <w:spacing w:line="480" w:lineRule="auto"/>
        <w:ind w:left="567" w:hanging="567"/>
        <w:jc w:val="both"/>
        <w:rPr>
          <w:rFonts w:ascii="Panton" w:hAnsi="Panton"/>
          <w:b/>
          <w:sz w:val="36"/>
          <w:szCs w:val="36"/>
        </w:rPr>
      </w:pPr>
      <w:r>
        <w:rPr>
          <w:rFonts w:ascii="Panton" w:hAnsi="Panton"/>
          <w:b/>
          <w:sz w:val="36"/>
          <w:szCs w:val="36"/>
        </w:rPr>
        <w:t>Reglas de Operación (Numeral de Contraloría Social).</w:t>
      </w:r>
      <w:bookmarkStart w:id="0" w:name="_GoBack"/>
      <w:bookmarkEnd w:id="0"/>
    </w:p>
    <w:p w:rsidR="00E83F1F" w:rsidRPr="006F739A" w:rsidRDefault="00E83F1F" w:rsidP="006F739A">
      <w:pPr>
        <w:pStyle w:val="Prrafodelista"/>
        <w:numPr>
          <w:ilvl w:val="0"/>
          <w:numId w:val="1"/>
        </w:numPr>
        <w:spacing w:line="480" w:lineRule="auto"/>
        <w:ind w:left="567" w:hanging="567"/>
        <w:jc w:val="both"/>
        <w:rPr>
          <w:rFonts w:ascii="Panton" w:hAnsi="Panton"/>
          <w:b/>
          <w:sz w:val="36"/>
          <w:szCs w:val="36"/>
        </w:rPr>
      </w:pPr>
      <w:r>
        <w:rPr>
          <w:rFonts w:ascii="Panton" w:hAnsi="Panton"/>
          <w:b/>
          <w:sz w:val="36"/>
          <w:szCs w:val="36"/>
        </w:rPr>
        <w:t>Manual de Promoción y Operación de la Contraloría Social en Programas Federales.</w:t>
      </w:r>
    </w:p>
    <w:sectPr w:rsidR="00E83F1F" w:rsidRPr="006F739A" w:rsidSect="00B72E80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60" w:rsidRDefault="00553860" w:rsidP="00B72E80">
      <w:pPr>
        <w:spacing w:after="0" w:line="240" w:lineRule="auto"/>
      </w:pPr>
      <w:r>
        <w:separator/>
      </w:r>
    </w:p>
  </w:endnote>
  <w:endnote w:type="continuationSeparator" w:id="0">
    <w:p w:rsidR="00553860" w:rsidRDefault="00553860" w:rsidP="00B7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60" w:rsidRDefault="00553860" w:rsidP="00B72E80">
      <w:pPr>
        <w:spacing w:after="0" w:line="240" w:lineRule="auto"/>
      </w:pPr>
      <w:r>
        <w:separator/>
      </w:r>
    </w:p>
  </w:footnote>
  <w:footnote w:type="continuationSeparator" w:id="0">
    <w:p w:rsidR="00553860" w:rsidRDefault="00553860" w:rsidP="00B7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80" w:rsidRDefault="00B72E80">
    <w:pPr>
      <w:pStyle w:val="Encabezado"/>
    </w:pPr>
    <w:r>
      <w:rPr>
        <w:noProof/>
        <w:lang w:eastAsia="es-4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-325755</wp:posOffset>
          </wp:positionV>
          <wp:extent cx="4757195" cy="956066"/>
          <wp:effectExtent l="0" t="0" r="571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95" cy="95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77308"/>
    <w:multiLevelType w:val="hybridMultilevel"/>
    <w:tmpl w:val="B81C950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80"/>
    <w:rsid w:val="000756FE"/>
    <w:rsid w:val="00262C5C"/>
    <w:rsid w:val="00291E35"/>
    <w:rsid w:val="00553860"/>
    <w:rsid w:val="006F739A"/>
    <w:rsid w:val="00B72E80"/>
    <w:rsid w:val="00E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B773"/>
  <w15:chartTrackingRefBased/>
  <w15:docId w15:val="{4C696696-63C1-4DC5-93A1-80B184F2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E80"/>
  </w:style>
  <w:style w:type="paragraph" w:styleId="Piedepgina">
    <w:name w:val="footer"/>
    <w:basedOn w:val="Normal"/>
    <w:link w:val="PiedepginaCar"/>
    <w:uiPriority w:val="99"/>
    <w:unhideWhenUsed/>
    <w:rsid w:val="00B72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E80"/>
  </w:style>
  <w:style w:type="paragraph" w:styleId="Prrafodelista">
    <w:name w:val="List Paragraph"/>
    <w:basedOn w:val="Normal"/>
    <w:uiPriority w:val="34"/>
    <w:qFormat/>
    <w:rsid w:val="006F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Juarez Ramirez</dc:creator>
  <cp:keywords/>
  <dc:description/>
  <cp:lastModifiedBy>Marcela Alejandra Juarez Ramirez</cp:lastModifiedBy>
  <cp:revision>1</cp:revision>
  <dcterms:created xsi:type="dcterms:W3CDTF">2019-11-27T16:44:00Z</dcterms:created>
  <dcterms:modified xsi:type="dcterms:W3CDTF">2019-11-27T17:22:00Z</dcterms:modified>
</cp:coreProperties>
</file>